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639E" w14:textId="350376B9" w:rsidR="00B16629" w:rsidRDefault="00B43941" w:rsidP="00581019">
      <w:pPr>
        <w:spacing w:after="120" w:line="240" w:lineRule="auto"/>
      </w:pPr>
      <w:r w:rsidRPr="00B43941">
        <w:rPr>
          <w:b/>
        </w:rPr>
        <w:t>Date:</w:t>
      </w:r>
      <w:r>
        <w:tab/>
      </w:r>
      <w:r>
        <w:tab/>
      </w:r>
      <w:r w:rsidR="009E7AB8">
        <w:t>15</w:t>
      </w:r>
      <w:r>
        <w:t xml:space="preserve"> </w:t>
      </w:r>
      <w:r w:rsidR="009E7AB8">
        <w:t>May 2017</w:t>
      </w:r>
    </w:p>
    <w:p w14:paraId="1CED639F" w14:textId="6DE76ABE" w:rsidR="00B43941" w:rsidRDefault="00B43941" w:rsidP="00581019">
      <w:pPr>
        <w:spacing w:after="120" w:line="240" w:lineRule="auto"/>
      </w:pPr>
      <w:r w:rsidRPr="00B43941">
        <w:rPr>
          <w:b/>
        </w:rPr>
        <w:t>Venue:</w:t>
      </w:r>
      <w:r w:rsidRPr="00B43941">
        <w:rPr>
          <w:b/>
        </w:rPr>
        <w:tab/>
      </w:r>
      <w:r>
        <w:tab/>
      </w:r>
      <w:r w:rsidR="009E7AB8">
        <w:t>Felix House surgery – staff room</w:t>
      </w:r>
    </w:p>
    <w:p w14:paraId="1CED63A0" w14:textId="77777777" w:rsidR="00353A3D" w:rsidRDefault="00353A3D" w:rsidP="00581019">
      <w:pPr>
        <w:spacing w:after="120"/>
        <w:rPr>
          <w:b/>
        </w:rPr>
      </w:pPr>
      <w:r w:rsidRPr="00B43941">
        <w:rPr>
          <w:b/>
        </w:rPr>
        <w:t>Attendees</w:t>
      </w:r>
    </w:p>
    <w:p w14:paraId="1CED63A1" w14:textId="46BF1BA8" w:rsidR="00353A3D" w:rsidRDefault="009E7AB8" w:rsidP="002927FD">
      <w:pPr>
        <w:spacing w:after="0" w:line="240" w:lineRule="auto"/>
      </w:pPr>
      <w:r>
        <w:t xml:space="preserve">Liz Stewart (LS) - Chair </w:t>
      </w:r>
      <w:r>
        <w:tab/>
      </w:r>
      <w:r w:rsidR="00353A3D">
        <w:tab/>
      </w:r>
      <w:r>
        <w:t>Graeme Levett</w:t>
      </w:r>
      <w:r w:rsidR="00353A3D">
        <w:t xml:space="preserve"> (</w:t>
      </w:r>
      <w:r>
        <w:t>GL)</w:t>
      </w:r>
      <w:r w:rsidR="00353A3D">
        <w:tab/>
      </w:r>
      <w:r>
        <w:t>Jane Sinski (JS)</w:t>
      </w:r>
      <w:r w:rsidR="00353A3D">
        <w:tab/>
      </w:r>
    </w:p>
    <w:p w14:paraId="1CED63A2" w14:textId="0F422D10" w:rsidR="00094511" w:rsidRDefault="009E7AB8" w:rsidP="00094511">
      <w:pPr>
        <w:spacing w:after="0" w:line="240" w:lineRule="auto"/>
      </w:pPr>
      <w:r>
        <w:t>Andy Jones (AJ) - minutes</w:t>
      </w:r>
      <w:r>
        <w:tab/>
        <w:t>Frank Mills (FM)</w:t>
      </w:r>
      <w:r>
        <w:tab/>
        <w:t>Val Johnston (VJ)</w:t>
      </w:r>
    </w:p>
    <w:p w14:paraId="1CED63A3" w14:textId="77777777" w:rsidR="001532BA" w:rsidRPr="001532BA" w:rsidRDefault="001532BA" w:rsidP="00F94465">
      <w:pPr>
        <w:spacing w:before="180" w:after="0" w:line="240" w:lineRule="auto"/>
        <w:rPr>
          <w:b/>
        </w:rPr>
      </w:pPr>
      <w:r w:rsidRPr="001532BA">
        <w:rPr>
          <w:b/>
        </w:rPr>
        <w:t>Apologies</w:t>
      </w:r>
    </w:p>
    <w:p w14:paraId="1CED63A4" w14:textId="6075A83F" w:rsidR="001532BA" w:rsidRDefault="009E7AB8" w:rsidP="00F94465">
      <w:pPr>
        <w:spacing w:before="180" w:after="0" w:line="240" w:lineRule="auto"/>
      </w:pPr>
      <w:r>
        <w:t>James Edwards (JE)</w:t>
      </w:r>
    </w:p>
    <w:p w14:paraId="6FD07EEA" w14:textId="77777777" w:rsidR="005A5899" w:rsidRPr="005A5899" w:rsidRDefault="005A5899" w:rsidP="00F94465">
      <w:pPr>
        <w:spacing w:before="180" w:after="120"/>
        <w:rPr>
          <w:b/>
        </w:rPr>
      </w:pPr>
      <w:r w:rsidRPr="005A5899">
        <w:rPr>
          <w:b/>
        </w:rPr>
        <w:t>Agenda used</w:t>
      </w:r>
    </w:p>
    <w:p w14:paraId="70086BB3" w14:textId="57AC0A28"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Roll call / apologies</w:t>
      </w:r>
    </w:p>
    <w:p w14:paraId="60FF3B45" w14:textId="4D90D867"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Update on temporary accommodation for surgery – Liz</w:t>
      </w:r>
    </w:p>
    <w:p w14:paraId="026519CA" w14:textId="74D0F125"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Hub working – Liz</w:t>
      </w:r>
    </w:p>
    <w:p w14:paraId="07021C01" w14:textId="10FF4E44" w:rsidR="005A5899" w:rsidRPr="005A5899" w:rsidRDefault="005A5899" w:rsidP="005A5899">
      <w:pPr>
        <w:pStyle w:val="ListParagraph"/>
        <w:numPr>
          <w:ilvl w:val="0"/>
          <w:numId w:val="8"/>
        </w:numPr>
        <w:spacing w:after="0" w:line="240" w:lineRule="auto"/>
        <w:rPr>
          <w:rFonts w:cstheme="minorHAnsi"/>
        </w:rPr>
      </w:pPr>
      <w:r>
        <w:rPr>
          <w:rFonts w:cstheme="minorHAnsi"/>
        </w:rPr>
        <w:t>Surgery latest – Liz</w:t>
      </w:r>
    </w:p>
    <w:p w14:paraId="4B02D389" w14:textId="38E33FA2"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Feedback from Darlington Community Council – Liz</w:t>
      </w:r>
    </w:p>
    <w:p w14:paraId="52869BE5" w14:textId="25770743"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Discuss PPG meetings –format / content / timings / minute taking - All</w:t>
      </w:r>
    </w:p>
    <w:p w14:paraId="111784AC" w14:textId="77777777"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AOB</w:t>
      </w:r>
    </w:p>
    <w:p w14:paraId="1CED63A5" w14:textId="7C4B5F3C" w:rsidR="00D604E5" w:rsidRPr="00B43941" w:rsidRDefault="00B43941" w:rsidP="00F94465">
      <w:pPr>
        <w:spacing w:before="180" w:after="120"/>
        <w:rPr>
          <w:b/>
        </w:rPr>
      </w:pPr>
      <w:r w:rsidRPr="00B43941">
        <w:rPr>
          <w:b/>
        </w:rPr>
        <w:t>Summary</w:t>
      </w:r>
    </w:p>
    <w:p w14:paraId="1CED63A6" w14:textId="394AD266" w:rsidR="0032250B" w:rsidRDefault="005A5899" w:rsidP="00581019">
      <w:pPr>
        <w:spacing w:after="360" w:line="240" w:lineRule="auto"/>
      </w:pPr>
      <w:r>
        <w:t xml:space="preserve">The new portacabin surgery is planned to be in place on the site at </w:t>
      </w:r>
      <w:r w:rsidR="00CD1059">
        <w:t xml:space="preserve">Middleton Hall </w:t>
      </w:r>
      <w:r>
        <w:t xml:space="preserve">for a move of surgery end of July. Potentially this </w:t>
      </w:r>
      <w:r w:rsidR="00995DE2">
        <w:t>planned</w:t>
      </w:r>
      <w:r>
        <w:t xml:space="preserve"> date could slip and LS would work with Dr Marshall in the event an extension was needed.</w:t>
      </w:r>
    </w:p>
    <w:p w14:paraId="3D58AC8D" w14:textId="24E231F2" w:rsidR="005A5899" w:rsidRDefault="005A5899" w:rsidP="00581019">
      <w:pPr>
        <w:spacing w:after="360" w:line="240" w:lineRule="auto"/>
      </w:pPr>
      <w:r>
        <w:t xml:space="preserve">The new portacabin surgery will be approximately the same square metre size as the current building. </w:t>
      </w:r>
    </w:p>
    <w:p w14:paraId="019B04B5" w14:textId="229541D5" w:rsidR="005A5899" w:rsidRDefault="005A5899" w:rsidP="00581019">
      <w:pPr>
        <w:spacing w:after="360" w:line="240" w:lineRule="auto"/>
      </w:pPr>
      <w:r>
        <w:t>The portacabin building is expected to be in use for 2 to 3 years while funding, plans and build work for the new built surgery are progressed.</w:t>
      </w:r>
    </w:p>
    <w:p w14:paraId="49EA211F" w14:textId="142FDDD3" w:rsidR="005A5899" w:rsidRDefault="005A5899" w:rsidP="00581019">
      <w:pPr>
        <w:spacing w:after="360" w:line="240" w:lineRule="auto"/>
      </w:pPr>
      <w:r>
        <w:t xml:space="preserve">With the move away from Felix House there will be a new name for the surgery. It will be called St George’s Medical Practice and the web address </w:t>
      </w:r>
      <w:hyperlink r:id="rId11" w:history="1">
        <w:r w:rsidRPr="0047575D">
          <w:rPr>
            <w:rStyle w:val="Hyperlink"/>
          </w:rPr>
          <w:t>www.stgeorgesmp.co.uk</w:t>
        </w:r>
      </w:hyperlink>
      <w:r>
        <w:t xml:space="preserve"> has been reserved. Traffic  from the existing </w:t>
      </w:r>
      <w:r w:rsidR="001D6D70">
        <w:t xml:space="preserve">felixhouse website </w:t>
      </w:r>
      <w:r>
        <w:t>web address will be forwarded initially.</w:t>
      </w:r>
    </w:p>
    <w:p w14:paraId="57E031B0" w14:textId="77777777" w:rsidR="009A087D" w:rsidRDefault="009A087D" w:rsidP="00581019">
      <w:pPr>
        <w:spacing w:after="360" w:line="240" w:lineRule="auto"/>
      </w:pPr>
    </w:p>
    <w:p w14:paraId="37B88A5A" w14:textId="49F5E76A" w:rsidR="009A087D" w:rsidRDefault="009A087D" w:rsidP="00581019">
      <w:pPr>
        <w:spacing w:after="360" w:line="240" w:lineRule="auto"/>
      </w:pPr>
      <w:r>
        <w:t>LS also described how difficulties in</w:t>
      </w:r>
      <w:r w:rsidR="00020E2F">
        <w:t xml:space="preserve"> the </w:t>
      </w:r>
      <w:r>
        <w:t xml:space="preserve">strategic approach </w:t>
      </w:r>
      <w:r w:rsidR="00020E2F">
        <w:t xml:space="preserve">to planning for the wider GP community </w:t>
      </w:r>
      <w:r>
        <w:t xml:space="preserve">makes thing difficult when decisions need to be made as regards the future of </w:t>
      </w:r>
      <w:r w:rsidR="00020E2F">
        <w:t>our</w:t>
      </w:r>
      <w:r>
        <w:t xml:space="preserve"> surgery</w:t>
      </w:r>
      <w:r w:rsidR="00020E2F">
        <w:t xml:space="preserve"> here in the village especially as we are a small practice with circa 5,500 patients only.</w:t>
      </w:r>
      <w:r w:rsidR="005A5899">
        <w:t xml:space="preserve"> </w:t>
      </w:r>
    </w:p>
    <w:p w14:paraId="1D6A7BDB" w14:textId="3D7298E6" w:rsidR="009A087D" w:rsidRDefault="009A087D" w:rsidP="00581019">
      <w:pPr>
        <w:spacing w:after="360" w:line="240" w:lineRule="auto"/>
      </w:pPr>
      <w:r>
        <w:t>Hub working was discussed and poten</w:t>
      </w:r>
      <w:r w:rsidR="00CD1059">
        <w:t>tial shared services with Whinfield medical practice and Denmark St surgery</w:t>
      </w:r>
      <w:r>
        <w:t xml:space="preserve"> in Darlington may be on the cards in future. Some early work on administrative economies for stationary and so forth are being discussed currently.</w:t>
      </w:r>
    </w:p>
    <w:p w14:paraId="239F14B3" w14:textId="517B98E9" w:rsidR="00020E2F" w:rsidRDefault="00020E2F" w:rsidP="00581019">
      <w:pPr>
        <w:spacing w:after="360" w:line="240" w:lineRule="auto"/>
      </w:pPr>
      <w:r>
        <w:t>GL provided us background as to the last DCC meeting and explained some of the difficulties even at that level of getting decisions made. VJ added that she had seen similar slow progress for other surgeries as she had previous experience. VJ suggested we might consider raising our concerns about our new surgery to the appropriate management. However</w:t>
      </w:r>
      <w:r w:rsidR="00995DE2">
        <w:t>,</w:t>
      </w:r>
      <w:r>
        <w:t xml:space="preserve"> after some further discussion</w:t>
      </w:r>
      <w:r w:rsidR="00995DE2">
        <w:t>,</w:t>
      </w:r>
      <w:r>
        <w:t xml:space="preserve"> it was agreed to hold off on this course of action for now.</w:t>
      </w:r>
    </w:p>
    <w:p w14:paraId="0DA5F332" w14:textId="19FD0BF4" w:rsidR="00EB6F94" w:rsidRDefault="00EB6F94" w:rsidP="00581019">
      <w:pPr>
        <w:spacing w:after="360" w:line="240" w:lineRule="auto"/>
      </w:pPr>
      <w:r>
        <w:t>VJ suggested a terms of reference for the PPG group would be beneficial. LS said she would provide a useable copy which we could tailor as required.</w:t>
      </w:r>
    </w:p>
    <w:p w14:paraId="2FE09B81" w14:textId="12CC742E" w:rsidR="00020E2F" w:rsidRDefault="00020E2F" w:rsidP="00581019">
      <w:pPr>
        <w:spacing w:after="360" w:line="240" w:lineRule="auto"/>
      </w:pPr>
      <w:r>
        <w:t>LS advised the PPG meeting should be held every 4 weeks and use a similar agenda as input. This was agreed. Next PPG meeting will be Monday 12</w:t>
      </w:r>
      <w:r w:rsidRPr="00020E2F">
        <w:rPr>
          <w:vertAlign w:val="superscript"/>
        </w:rPr>
        <w:t>th</w:t>
      </w:r>
      <w:r>
        <w:t xml:space="preserve"> June at 14:30. The meeting will be held at the Felix House surgery in the staff room.</w:t>
      </w:r>
    </w:p>
    <w:p w14:paraId="4891D0CB" w14:textId="67889F43" w:rsidR="00020E2F" w:rsidRPr="00020E2F" w:rsidRDefault="00020E2F" w:rsidP="00581019">
      <w:pPr>
        <w:spacing w:after="360" w:line="240" w:lineRule="auto"/>
        <w:rPr>
          <w:b/>
        </w:rPr>
      </w:pPr>
      <w:r w:rsidRPr="00020E2F">
        <w:rPr>
          <w:b/>
        </w:rPr>
        <w:t>Actions</w:t>
      </w:r>
    </w:p>
    <w:tbl>
      <w:tblPr>
        <w:tblStyle w:val="TableGrid"/>
        <w:tblW w:w="14426" w:type="dxa"/>
        <w:tblLook w:val="04A0" w:firstRow="1" w:lastRow="0" w:firstColumn="1" w:lastColumn="0" w:noHBand="0" w:noVBand="1"/>
      </w:tblPr>
      <w:tblGrid>
        <w:gridCol w:w="1070"/>
        <w:gridCol w:w="8051"/>
        <w:gridCol w:w="3440"/>
        <w:gridCol w:w="1865"/>
      </w:tblGrid>
      <w:tr w:rsidR="00020E2F" w14:paraId="5BB51773" w14:textId="77777777" w:rsidTr="001E3CB3">
        <w:tc>
          <w:tcPr>
            <w:tcW w:w="1070" w:type="dxa"/>
            <w:shd w:val="clear" w:color="auto" w:fill="92CDDC" w:themeFill="accent5" w:themeFillTint="99"/>
          </w:tcPr>
          <w:p w14:paraId="41C664D9" w14:textId="77777777" w:rsidR="00020E2F" w:rsidRPr="00353A3D" w:rsidRDefault="00020E2F" w:rsidP="001E3CB3">
            <w:pPr>
              <w:jc w:val="center"/>
              <w:rPr>
                <w:b/>
              </w:rPr>
            </w:pPr>
            <w:r w:rsidRPr="00353A3D">
              <w:rPr>
                <w:b/>
              </w:rPr>
              <w:t>Number</w:t>
            </w:r>
          </w:p>
        </w:tc>
        <w:tc>
          <w:tcPr>
            <w:tcW w:w="8051" w:type="dxa"/>
            <w:shd w:val="clear" w:color="auto" w:fill="92CDDC" w:themeFill="accent5" w:themeFillTint="99"/>
          </w:tcPr>
          <w:p w14:paraId="7317BDE8" w14:textId="77777777" w:rsidR="00020E2F" w:rsidRPr="00353A3D" w:rsidRDefault="00020E2F" w:rsidP="001E3CB3">
            <w:pPr>
              <w:rPr>
                <w:b/>
              </w:rPr>
            </w:pPr>
            <w:r w:rsidRPr="00353A3D">
              <w:rPr>
                <w:b/>
              </w:rPr>
              <w:t>Description</w:t>
            </w:r>
          </w:p>
        </w:tc>
        <w:tc>
          <w:tcPr>
            <w:tcW w:w="3440" w:type="dxa"/>
            <w:shd w:val="clear" w:color="auto" w:fill="92CDDC" w:themeFill="accent5" w:themeFillTint="99"/>
          </w:tcPr>
          <w:p w14:paraId="70DD6EC1" w14:textId="77777777" w:rsidR="00020E2F" w:rsidRPr="00353A3D" w:rsidRDefault="00020E2F" w:rsidP="001E3CB3">
            <w:pPr>
              <w:rPr>
                <w:b/>
              </w:rPr>
            </w:pPr>
            <w:r>
              <w:rPr>
                <w:b/>
              </w:rPr>
              <w:t>Action</w:t>
            </w:r>
          </w:p>
        </w:tc>
        <w:tc>
          <w:tcPr>
            <w:tcW w:w="1865" w:type="dxa"/>
            <w:shd w:val="clear" w:color="auto" w:fill="92CDDC" w:themeFill="accent5" w:themeFillTint="99"/>
          </w:tcPr>
          <w:p w14:paraId="79EEDD84" w14:textId="77777777" w:rsidR="00020E2F" w:rsidRPr="00353A3D" w:rsidRDefault="00020E2F" w:rsidP="001E3CB3">
            <w:pPr>
              <w:rPr>
                <w:b/>
              </w:rPr>
            </w:pPr>
            <w:r>
              <w:rPr>
                <w:b/>
              </w:rPr>
              <w:t>Owner</w:t>
            </w:r>
          </w:p>
        </w:tc>
      </w:tr>
      <w:tr w:rsidR="00020E2F" w:rsidRPr="00EB6F94" w14:paraId="0E2F7B7E" w14:textId="77777777" w:rsidTr="001E3CB3">
        <w:tc>
          <w:tcPr>
            <w:tcW w:w="1070" w:type="dxa"/>
            <w:shd w:val="clear" w:color="auto" w:fill="92CDDC" w:themeFill="accent5" w:themeFillTint="99"/>
          </w:tcPr>
          <w:p w14:paraId="385F6064" w14:textId="48AA4922" w:rsidR="00020E2F" w:rsidRPr="00EB6F94" w:rsidRDefault="00EB6F94" w:rsidP="001E3CB3">
            <w:pPr>
              <w:jc w:val="center"/>
            </w:pPr>
            <w:r>
              <w:t>1</w:t>
            </w:r>
          </w:p>
        </w:tc>
        <w:tc>
          <w:tcPr>
            <w:tcW w:w="8051" w:type="dxa"/>
            <w:shd w:val="clear" w:color="auto" w:fill="92CDDC" w:themeFill="accent5" w:themeFillTint="99"/>
          </w:tcPr>
          <w:p w14:paraId="3E01A1DD" w14:textId="286DCA3F" w:rsidR="00020E2F" w:rsidRPr="00EB6F94" w:rsidRDefault="00EB6F94" w:rsidP="001E3CB3">
            <w:r>
              <w:t>Terms of Reference for</w:t>
            </w:r>
            <w:r w:rsidR="00902942">
              <w:t xml:space="preserve"> the</w:t>
            </w:r>
            <w:r>
              <w:t xml:space="preserve"> PPG</w:t>
            </w:r>
            <w:r w:rsidR="00902942">
              <w:t xml:space="preserve">are </w:t>
            </w:r>
            <w:r>
              <w:t>required</w:t>
            </w:r>
          </w:p>
        </w:tc>
        <w:tc>
          <w:tcPr>
            <w:tcW w:w="3440" w:type="dxa"/>
            <w:shd w:val="clear" w:color="auto" w:fill="92CDDC" w:themeFill="accent5" w:themeFillTint="99"/>
          </w:tcPr>
          <w:p w14:paraId="5FAB6457" w14:textId="2BB445B7" w:rsidR="00020E2F" w:rsidRPr="00EB6F94" w:rsidRDefault="00EB6F94" w:rsidP="001E3CB3">
            <w:r>
              <w:t xml:space="preserve">ToR example to be circulated </w:t>
            </w:r>
          </w:p>
        </w:tc>
        <w:tc>
          <w:tcPr>
            <w:tcW w:w="1865" w:type="dxa"/>
            <w:shd w:val="clear" w:color="auto" w:fill="92CDDC" w:themeFill="accent5" w:themeFillTint="99"/>
          </w:tcPr>
          <w:p w14:paraId="4D353B44" w14:textId="5643708A" w:rsidR="00020E2F" w:rsidRPr="00EB6F94" w:rsidRDefault="00EB6F94" w:rsidP="001E3CB3">
            <w:r>
              <w:t>LS</w:t>
            </w:r>
          </w:p>
        </w:tc>
      </w:tr>
      <w:tr w:rsidR="00020E2F" w:rsidRPr="00EB6F94" w14:paraId="76ADEB3C" w14:textId="77777777" w:rsidTr="001E3CB3">
        <w:tc>
          <w:tcPr>
            <w:tcW w:w="1070" w:type="dxa"/>
            <w:shd w:val="clear" w:color="auto" w:fill="92CDDC" w:themeFill="accent5" w:themeFillTint="99"/>
          </w:tcPr>
          <w:p w14:paraId="200251AC" w14:textId="4C7CBC6C" w:rsidR="00020E2F" w:rsidRPr="00EB6F94" w:rsidRDefault="00EB6F94" w:rsidP="001E3CB3">
            <w:pPr>
              <w:jc w:val="center"/>
            </w:pPr>
            <w:r w:rsidRPr="00EB6F94">
              <w:t>2</w:t>
            </w:r>
          </w:p>
        </w:tc>
        <w:tc>
          <w:tcPr>
            <w:tcW w:w="8051" w:type="dxa"/>
            <w:shd w:val="clear" w:color="auto" w:fill="92CDDC" w:themeFill="accent5" w:themeFillTint="99"/>
          </w:tcPr>
          <w:p w14:paraId="1403E5C4" w14:textId="2E11FA56" w:rsidR="00020E2F" w:rsidRPr="00EB6F94" w:rsidRDefault="00EB6F94" w:rsidP="001E3CB3">
            <w:r>
              <w:t>Type minutes</w:t>
            </w:r>
          </w:p>
        </w:tc>
        <w:tc>
          <w:tcPr>
            <w:tcW w:w="3440" w:type="dxa"/>
            <w:shd w:val="clear" w:color="auto" w:fill="92CDDC" w:themeFill="accent5" w:themeFillTint="99"/>
          </w:tcPr>
          <w:p w14:paraId="74923F1B" w14:textId="039AF3F5" w:rsidR="00020E2F" w:rsidRPr="00EB6F94" w:rsidRDefault="00EB6F94" w:rsidP="001E3CB3">
            <w:r>
              <w:t>Circulate for review</w:t>
            </w:r>
          </w:p>
        </w:tc>
        <w:tc>
          <w:tcPr>
            <w:tcW w:w="1865" w:type="dxa"/>
            <w:shd w:val="clear" w:color="auto" w:fill="92CDDC" w:themeFill="accent5" w:themeFillTint="99"/>
          </w:tcPr>
          <w:p w14:paraId="298BE3C6" w14:textId="10A11811" w:rsidR="00020E2F" w:rsidRPr="00EB6F94" w:rsidRDefault="00EB6F94" w:rsidP="001E3CB3">
            <w:r>
              <w:t>AJ</w:t>
            </w:r>
          </w:p>
        </w:tc>
      </w:tr>
    </w:tbl>
    <w:p w14:paraId="471D3BB8" w14:textId="45EE8DD8" w:rsidR="00020E2F" w:rsidRDefault="00020E2F" w:rsidP="00581019">
      <w:pPr>
        <w:spacing w:after="360" w:line="240" w:lineRule="auto"/>
      </w:pPr>
    </w:p>
    <w:p w14:paraId="166048C7" w14:textId="2DAB5C38" w:rsidR="00020E2F" w:rsidRPr="00020E2F" w:rsidRDefault="00020E2F" w:rsidP="00020E2F">
      <w:pPr>
        <w:spacing w:after="360" w:line="240" w:lineRule="auto"/>
        <w:jc w:val="center"/>
        <w:rPr>
          <w:color w:val="7F7F7F" w:themeColor="text1" w:themeTint="80"/>
        </w:rPr>
      </w:pPr>
      <w:r w:rsidRPr="002C6166">
        <w:t>--- end ---</w:t>
      </w:r>
    </w:p>
    <w:p w14:paraId="1CED63A7" w14:textId="1A3F6462" w:rsidR="00094511" w:rsidRPr="00094511" w:rsidRDefault="00094511" w:rsidP="00581019">
      <w:pPr>
        <w:spacing w:after="360" w:line="240" w:lineRule="auto"/>
        <w:rPr>
          <w:i/>
        </w:rPr>
      </w:pPr>
    </w:p>
    <w:p w14:paraId="1CED6416" w14:textId="77777777" w:rsidR="0032250B" w:rsidRDefault="0032250B"/>
    <w:sectPr w:rsidR="0032250B" w:rsidSect="0032250B">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8544" w14:textId="77777777" w:rsidR="00313EC1" w:rsidRDefault="00313EC1" w:rsidP="00B43941">
      <w:pPr>
        <w:spacing w:after="0" w:line="240" w:lineRule="auto"/>
      </w:pPr>
      <w:r>
        <w:separator/>
      </w:r>
    </w:p>
  </w:endnote>
  <w:endnote w:type="continuationSeparator" w:id="0">
    <w:p w14:paraId="4B3507FE" w14:textId="77777777" w:rsidR="00313EC1" w:rsidRDefault="00313EC1" w:rsidP="00B4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9654"/>
      <w:docPartObj>
        <w:docPartGallery w:val="Page Numbers (Bottom of Page)"/>
        <w:docPartUnique/>
      </w:docPartObj>
    </w:sdtPr>
    <w:sdtEndPr/>
    <w:sdtContent>
      <w:sdt>
        <w:sdtPr>
          <w:id w:val="860082579"/>
          <w:docPartObj>
            <w:docPartGallery w:val="Page Numbers (Top of Page)"/>
            <w:docPartUnique/>
          </w:docPartObj>
        </w:sdtPr>
        <w:sdtEndPr/>
        <w:sdtContent>
          <w:p w14:paraId="1CED641C" w14:textId="6FAB727D" w:rsidR="004B0CFC" w:rsidRDefault="005A5899">
            <w:pPr>
              <w:pStyle w:val="Footer"/>
              <w:jc w:val="right"/>
            </w:pPr>
            <w:r>
              <w:t>18/05/2017</w:t>
            </w:r>
            <w:r>
              <w:tab/>
            </w:r>
            <w:r>
              <w:tab/>
            </w:r>
            <w:r>
              <w:tab/>
            </w:r>
            <w:r>
              <w:tab/>
            </w:r>
            <w:r>
              <w:tab/>
            </w:r>
            <w:r>
              <w:tab/>
            </w:r>
            <w:r>
              <w:tab/>
            </w:r>
            <w:r>
              <w:tab/>
            </w:r>
            <w:r w:rsidR="004B0CFC">
              <w:t xml:space="preserve">Page </w:t>
            </w:r>
            <w:r w:rsidR="004B0CFC">
              <w:rPr>
                <w:b/>
                <w:bCs/>
                <w:sz w:val="24"/>
                <w:szCs w:val="24"/>
              </w:rPr>
              <w:fldChar w:fldCharType="begin"/>
            </w:r>
            <w:r w:rsidR="004B0CFC">
              <w:rPr>
                <w:b/>
                <w:bCs/>
              </w:rPr>
              <w:instrText xml:space="preserve"> PAGE </w:instrText>
            </w:r>
            <w:r w:rsidR="004B0CFC">
              <w:rPr>
                <w:b/>
                <w:bCs/>
                <w:sz w:val="24"/>
                <w:szCs w:val="24"/>
              </w:rPr>
              <w:fldChar w:fldCharType="separate"/>
            </w:r>
            <w:r w:rsidR="00285EA1">
              <w:rPr>
                <w:b/>
                <w:bCs/>
                <w:noProof/>
              </w:rPr>
              <w:t>2</w:t>
            </w:r>
            <w:r w:rsidR="004B0CFC">
              <w:rPr>
                <w:b/>
                <w:bCs/>
                <w:sz w:val="24"/>
                <w:szCs w:val="24"/>
              </w:rPr>
              <w:fldChar w:fldCharType="end"/>
            </w:r>
            <w:r w:rsidR="004B0CFC">
              <w:t xml:space="preserve"> of </w:t>
            </w:r>
            <w:r w:rsidR="004B0CFC">
              <w:rPr>
                <w:b/>
                <w:bCs/>
                <w:sz w:val="24"/>
                <w:szCs w:val="24"/>
              </w:rPr>
              <w:fldChar w:fldCharType="begin"/>
            </w:r>
            <w:r w:rsidR="004B0CFC">
              <w:rPr>
                <w:b/>
                <w:bCs/>
              </w:rPr>
              <w:instrText xml:space="preserve"> NUMPAGES  </w:instrText>
            </w:r>
            <w:r w:rsidR="004B0CFC">
              <w:rPr>
                <w:b/>
                <w:bCs/>
                <w:sz w:val="24"/>
                <w:szCs w:val="24"/>
              </w:rPr>
              <w:fldChar w:fldCharType="separate"/>
            </w:r>
            <w:r w:rsidR="00285EA1">
              <w:rPr>
                <w:b/>
                <w:bCs/>
                <w:noProof/>
              </w:rPr>
              <w:t>2</w:t>
            </w:r>
            <w:r w:rsidR="004B0CFC">
              <w:rPr>
                <w:b/>
                <w:bCs/>
                <w:sz w:val="24"/>
                <w:szCs w:val="24"/>
              </w:rPr>
              <w:fldChar w:fldCharType="end"/>
            </w:r>
          </w:p>
        </w:sdtContent>
      </w:sdt>
    </w:sdtContent>
  </w:sdt>
  <w:p w14:paraId="1CED641D" w14:textId="77777777" w:rsidR="004B0CFC" w:rsidRDefault="004B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F9C5" w14:textId="77777777" w:rsidR="00313EC1" w:rsidRDefault="00313EC1" w:rsidP="00B43941">
      <w:pPr>
        <w:spacing w:after="0" w:line="240" w:lineRule="auto"/>
      </w:pPr>
      <w:r>
        <w:separator/>
      </w:r>
    </w:p>
  </w:footnote>
  <w:footnote w:type="continuationSeparator" w:id="0">
    <w:p w14:paraId="30181358" w14:textId="77777777" w:rsidR="00313EC1" w:rsidRDefault="00313EC1" w:rsidP="00B4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C8C2" w14:textId="6A5F525C" w:rsidR="009E7AB8" w:rsidRDefault="009E7AB8" w:rsidP="00B43941">
    <w:pPr>
      <w:pStyle w:val="Header"/>
      <w:jc w:val="center"/>
      <w:rPr>
        <w:b/>
        <w:sz w:val="36"/>
        <w:szCs w:val="36"/>
      </w:rPr>
    </w:pPr>
    <w:r>
      <w:rPr>
        <w:b/>
        <w:sz w:val="36"/>
        <w:szCs w:val="36"/>
      </w:rPr>
      <w:t>Felix House surgery – Patient Particip</w:t>
    </w:r>
    <w:r w:rsidR="005A5899">
      <w:rPr>
        <w:b/>
        <w:sz w:val="36"/>
        <w:szCs w:val="36"/>
      </w:rPr>
      <w:t>ati</w:t>
    </w:r>
    <w:r>
      <w:rPr>
        <w:b/>
        <w:sz w:val="36"/>
        <w:szCs w:val="36"/>
      </w:rPr>
      <w:t>on Group</w:t>
    </w:r>
  </w:p>
  <w:p w14:paraId="1CED641B" w14:textId="76896D3B" w:rsidR="004B0CFC" w:rsidRPr="00B43941" w:rsidRDefault="004B0CFC" w:rsidP="00B43941">
    <w:pPr>
      <w:pStyle w:val="Header"/>
      <w:jc w:val="center"/>
      <w:rPr>
        <w:b/>
        <w:sz w:val="36"/>
        <w:szCs w:val="36"/>
      </w:rPr>
    </w:pPr>
    <w:r w:rsidRPr="00B43941">
      <w:rPr>
        <w:b/>
        <w:sz w:val="36"/>
        <w:szCs w:val="36"/>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4135"/>
    <w:multiLevelType w:val="hybridMultilevel"/>
    <w:tmpl w:val="BA12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D6805"/>
    <w:multiLevelType w:val="hybridMultilevel"/>
    <w:tmpl w:val="CD26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32AE1"/>
    <w:multiLevelType w:val="hybridMultilevel"/>
    <w:tmpl w:val="4C8E563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56815DFA"/>
    <w:multiLevelType w:val="hybridMultilevel"/>
    <w:tmpl w:val="F064B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64B21A8"/>
    <w:multiLevelType w:val="hybridMultilevel"/>
    <w:tmpl w:val="12A0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6F6883"/>
    <w:multiLevelType w:val="hybridMultilevel"/>
    <w:tmpl w:val="FAAC4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80193"/>
    <w:multiLevelType w:val="hybridMultilevel"/>
    <w:tmpl w:val="ECC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61AB9"/>
    <w:multiLevelType w:val="hybridMultilevel"/>
    <w:tmpl w:val="20C6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523768">
    <w:abstractNumId w:val="7"/>
  </w:num>
  <w:num w:numId="2" w16cid:durableId="197620135">
    <w:abstractNumId w:val="4"/>
  </w:num>
  <w:num w:numId="3" w16cid:durableId="1509560498">
    <w:abstractNumId w:val="5"/>
  </w:num>
  <w:num w:numId="4" w16cid:durableId="1619023108">
    <w:abstractNumId w:val="2"/>
  </w:num>
  <w:num w:numId="5" w16cid:durableId="1436748080">
    <w:abstractNumId w:val="1"/>
  </w:num>
  <w:num w:numId="6" w16cid:durableId="1149591654">
    <w:abstractNumId w:val="6"/>
  </w:num>
  <w:num w:numId="7" w16cid:durableId="277104899">
    <w:abstractNumId w:val="0"/>
  </w:num>
  <w:num w:numId="8" w16cid:durableId="367146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0B"/>
    <w:rsid w:val="00005222"/>
    <w:rsid w:val="00010B5F"/>
    <w:rsid w:val="00017E1C"/>
    <w:rsid w:val="00020E2F"/>
    <w:rsid w:val="000451FD"/>
    <w:rsid w:val="00052EB1"/>
    <w:rsid w:val="00085CE6"/>
    <w:rsid w:val="00094511"/>
    <w:rsid w:val="000F2167"/>
    <w:rsid w:val="00131E6A"/>
    <w:rsid w:val="001532BA"/>
    <w:rsid w:val="00176D21"/>
    <w:rsid w:val="001A11FF"/>
    <w:rsid w:val="001C234E"/>
    <w:rsid w:val="001C599E"/>
    <w:rsid w:val="001D1EF3"/>
    <w:rsid w:val="001D6D70"/>
    <w:rsid w:val="0024031A"/>
    <w:rsid w:val="00285EA1"/>
    <w:rsid w:val="002927FD"/>
    <w:rsid w:val="002C6166"/>
    <w:rsid w:val="00313EC1"/>
    <w:rsid w:val="0032250B"/>
    <w:rsid w:val="00353A3D"/>
    <w:rsid w:val="0036448B"/>
    <w:rsid w:val="0040127A"/>
    <w:rsid w:val="004B0CFC"/>
    <w:rsid w:val="004D5E75"/>
    <w:rsid w:val="00581019"/>
    <w:rsid w:val="005A5899"/>
    <w:rsid w:val="00652141"/>
    <w:rsid w:val="006613AA"/>
    <w:rsid w:val="00723621"/>
    <w:rsid w:val="00757D80"/>
    <w:rsid w:val="007D0FCD"/>
    <w:rsid w:val="00810268"/>
    <w:rsid w:val="00811BBD"/>
    <w:rsid w:val="00900B01"/>
    <w:rsid w:val="00901255"/>
    <w:rsid w:val="00902942"/>
    <w:rsid w:val="00920D56"/>
    <w:rsid w:val="0093704F"/>
    <w:rsid w:val="00961988"/>
    <w:rsid w:val="00995DE2"/>
    <w:rsid w:val="009A087D"/>
    <w:rsid w:val="009E7AB8"/>
    <w:rsid w:val="00A01643"/>
    <w:rsid w:val="00A807BA"/>
    <w:rsid w:val="00B16629"/>
    <w:rsid w:val="00B43941"/>
    <w:rsid w:val="00B604A9"/>
    <w:rsid w:val="00B75C60"/>
    <w:rsid w:val="00B8757C"/>
    <w:rsid w:val="00CD1059"/>
    <w:rsid w:val="00D120FC"/>
    <w:rsid w:val="00D604E5"/>
    <w:rsid w:val="00D915ED"/>
    <w:rsid w:val="00DA0E8A"/>
    <w:rsid w:val="00DE65E2"/>
    <w:rsid w:val="00E13956"/>
    <w:rsid w:val="00E361CA"/>
    <w:rsid w:val="00E40B90"/>
    <w:rsid w:val="00EB6F94"/>
    <w:rsid w:val="00EF0A48"/>
    <w:rsid w:val="00F14D67"/>
    <w:rsid w:val="00F204F2"/>
    <w:rsid w:val="00F94465"/>
    <w:rsid w:val="00FA7490"/>
    <w:rsid w:val="00FD2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639E"/>
  <w15:docId w15:val="{055197E9-6D5E-49EC-8CEB-9980F899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CE6"/>
    <w:pPr>
      <w:ind w:left="720"/>
      <w:contextualSpacing/>
    </w:pPr>
  </w:style>
  <w:style w:type="paragraph" w:styleId="Header">
    <w:name w:val="header"/>
    <w:basedOn w:val="Normal"/>
    <w:link w:val="HeaderChar"/>
    <w:uiPriority w:val="99"/>
    <w:unhideWhenUsed/>
    <w:rsid w:val="00B43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941"/>
  </w:style>
  <w:style w:type="paragraph" w:styleId="Footer">
    <w:name w:val="footer"/>
    <w:basedOn w:val="Normal"/>
    <w:link w:val="FooterChar"/>
    <w:uiPriority w:val="99"/>
    <w:unhideWhenUsed/>
    <w:rsid w:val="00B43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941"/>
  </w:style>
  <w:style w:type="paragraph" w:styleId="BalloonText">
    <w:name w:val="Balloon Text"/>
    <w:basedOn w:val="Normal"/>
    <w:link w:val="BalloonTextChar"/>
    <w:uiPriority w:val="99"/>
    <w:semiHidden/>
    <w:unhideWhenUsed/>
    <w:rsid w:val="0024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1A"/>
    <w:rPr>
      <w:rFonts w:ascii="Tahoma" w:hAnsi="Tahoma" w:cs="Tahoma"/>
      <w:sz w:val="16"/>
      <w:szCs w:val="16"/>
    </w:rPr>
  </w:style>
  <w:style w:type="character" w:styleId="Hyperlink">
    <w:name w:val="Hyperlink"/>
    <w:basedOn w:val="DefaultParagraphFont"/>
    <w:uiPriority w:val="99"/>
    <w:unhideWhenUsed/>
    <w:rsid w:val="005A5899"/>
    <w:rPr>
      <w:color w:val="0000FF" w:themeColor="hyperlink"/>
      <w:u w:val="single"/>
    </w:rPr>
  </w:style>
  <w:style w:type="character" w:styleId="Mention">
    <w:name w:val="Mention"/>
    <w:basedOn w:val="DefaultParagraphFont"/>
    <w:uiPriority w:val="99"/>
    <w:semiHidden/>
    <w:unhideWhenUsed/>
    <w:rsid w:val="005A58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georgesmp.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100EEAF68EFC0E1534A82CA276ABBCF57B5" ma:contentTypeVersion="0" ma:contentTypeDescription="Fill out this form." ma:contentTypeScope="" ma:versionID="05323653481dd72a7b7e689e0217f3bb">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93F4BB9-A4AF-48E0-81F2-234D320776C6}">
  <ds:schemaRefs>
    <ds:schemaRef ds:uri="http://schemas.openxmlformats.org/officeDocument/2006/bibliography"/>
  </ds:schemaRefs>
</ds:datastoreItem>
</file>

<file path=customXml/itemProps2.xml><?xml version="1.0" encoding="utf-8"?>
<ds:datastoreItem xmlns:ds="http://schemas.openxmlformats.org/officeDocument/2006/customXml" ds:itemID="{540BCB2F-1997-4914-8267-C035C538CB37}">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B091474-B991-4E9E-907D-87F5D011F581}">
  <ds:schemaRefs>
    <ds:schemaRef ds:uri="http://schemas.microsoft.com/sharepoint/v3/contenttype/forms"/>
  </ds:schemaRefs>
</ds:datastoreItem>
</file>

<file path=customXml/itemProps4.xml><?xml version="1.0" encoding="utf-8"?>
<ds:datastoreItem xmlns:ds="http://schemas.openxmlformats.org/officeDocument/2006/customXml" ds:itemID="{FF306B2F-BE27-4E1B-957D-292D04C7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Duncan</dc:creator>
  <cp:lastModifiedBy>Katy Morson</cp:lastModifiedBy>
  <cp:revision>2</cp:revision>
  <cp:lastPrinted>2013-01-15T14:55:00Z</cp:lastPrinted>
  <dcterms:created xsi:type="dcterms:W3CDTF">2022-04-21T13:38:00Z</dcterms:created>
  <dcterms:modified xsi:type="dcterms:W3CDTF">2022-04-21T13:38:00Z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0x01010100EEAF68EFC0E1534A82CA276ABBCF57B5</vt:lpwstr>
  </property>
</Properties>
</file>